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DA" w:rsidRPr="0049626F" w:rsidRDefault="004E227F" w:rsidP="00CF313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49626F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4962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4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QUALIFYING PROJECT FORM</w:t>
      </w:r>
    </w:p>
    <w:p w:rsidR="006B26BF" w:rsidRPr="00CA4C92" w:rsidRDefault="00281BC7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4D327C" w:rsidRPr="0049626F" w:rsidTr="0049626F">
        <w:trPr>
          <w:trHeight w:val="1052"/>
        </w:trPr>
        <w:tc>
          <w:tcPr>
            <w:tcW w:w="3415" w:type="dxa"/>
            <w:shd w:val="clear" w:color="auto" w:fill="E5B8B7" w:themeFill="accent2" w:themeFillTint="66"/>
          </w:tcPr>
          <w:p w:rsidR="004D327C" w:rsidRPr="0049626F" w:rsidRDefault="004D327C" w:rsidP="00806A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  <w:r w:rsidR="00694DD6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737C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Categories 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06A70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circle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which applies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1EB6" w:rsidRPr="0049626F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this </w:t>
            </w:r>
            <w:r w:rsidR="0054746E" w:rsidRPr="0049626F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E5B8B7" w:themeFill="accent2" w:themeFillTint="66"/>
          </w:tcPr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</w:p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Ownership</w:t>
            </w:r>
          </w:p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Property Management</w:t>
            </w:r>
          </w:p>
          <w:p w:rsidR="00CF3139" w:rsidRPr="0084044E" w:rsidRDefault="004D327C" w:rsidP="008404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Service Provision</w:t>
            </w:r>
          </w:p>
        </w:tc>
      </w:tr>
      <w:tr w:rsidR="00290C33" w:rsidRPr="0049626F" w:rsidTr="0049626F">
        <w:trPr>
          <w:trHeight w:val="603"/>
        </w:trPr>
        <w:tc>
          <w:tcPr>
            <w:tcW w:w="3415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Project Name and Address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621"/>
        </w:trPr>
        <w:tc>
          <w:tcPr>
            <w:tcW w:w="3415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Name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310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Role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managing partner, limited partner, consultant,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 identify if joint-venture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512"/>
        </w:trPr>
        <w:tc>
          <w:tcPr>
            <w:tcW w:w="3415" w:type="dxa"/>
            <w:shd w:val="clear" w:color="auto" w:fill="auto"/>
          </w:tcPr>
          <w:p w:rsidR="00290C33" w:rsidRPr="0049626F" w:rsidRDefault="00290C33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Type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i.e. new construction, rehabilitation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3A6247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Construction Dates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(indicate construction start and completion year)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Construction Type</w:t>
            </w:r>
            <w:r w:rsidR="003A6247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(indicate material,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wood, steel,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3A6247">
        <w:trPr>
          <w:trHeight w:val="287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Number of Residential Units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2375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Unit Mix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. # of studios, 1-Bdrms,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F75770" w:rsidRPr="00CD1D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most restricted</w:t>
            </w:r>
            <w:r w:rsidR="00F75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Area Median Income breakdown, 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290C33" w:rsidRDefault="00290C33" w:rsidP="00290C3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8"/>
              <w:gridCol w:w="1295"/>
              <w:gridCol w:w="1240"/>
              <w:gridCol w:w="1343"/>
              <w:gridCol w:w="1343"/>
            </w:tblGrid>
            <w:tr w:rsidR="00290C33" w:rsidRPr="0049626F" w:rsidTr="00CD1D79">
              <w:trPr>
                <w:trHeight w:val="508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CD1D79">
                  <w:pPr>
                    <w:ind w:left="31" w:right="6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&lt;</w:t>
                  </w:r>
                  <w:r w:rsidR="003A62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3</w:t>
                  </w: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240" w:type="dxa"/>
                </w:tcPr>
                <w:p w:rsidR="00290C33" w:rsidRPr="0049626F" w:rsidRDefault="00290C33" w:rsidP="00CD1D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60%</w:t>
                  </w:r>
                  <w:r w:rsidR="00CD1D7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</w:t>
                  </w:r>
                </w:p>
              </w:tc>
            </w:tr>
            <w:tr w:rsidR="00290C33" w:rsidRPr="0049626F" w:rsidTr="00CD1D79">
              <w:trPr>
                <w:trHeight w:val="254"/>
              </w:trPr>
              <w:tc>
                <w:tcPr>
                  <w:tcW w:w="1058" w:type="dxa"/>
                </w:tcPr>
                <w:p w:rsidR="00290C33" w:rsidRPr="0049626F" w:rsidRDefault="000178D7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90C33"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tudio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:rsidTr="00CD1D79">
              <w:trPr>
                <w:trHeight w:val="254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1-br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:rsidTr="00CD1D79">
              <w:trPr>
                <w:trHeight w:val="67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2-br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:rsidTr="00CD1D79">
              <w:trPr>
                <w:trHeight w:val="254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3-br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C33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Units: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290C33" w:rsidRPr="0049626F" w:rsidTr="0049626F">
        <w:trPr>
          <w:trHeight w:val="602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Population Breakdown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Family Rental, Senior Rental, Supportive Housing)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70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Amenities Included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i.e.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community room, front desk, laundry, resident courtyards)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310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Residential Square Footage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65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Square Footage of Commercial Area and Use,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if any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292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Summary of 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Financing Sources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indicate construction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permanent financing sources and amounts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3A6247" w:rsidRPr="00145206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Development Cost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45206">
              <w:rPr>
                <w:rFonts w:asciiTheme="minorHAnsi" w:hAnsiTheme="minorHAnsi" w:cstheme="minorHAnsi"/>
                <w:sz w:val="22"/>
                <w:szCs w:val="22"/>
              </w:rPr>
              <w:t xml:space="preserve">include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 unit and per square foot cost)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Government Affordable Housing Program Involvement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(briefly describe)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310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Budget/Schedule Variance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(describe any variance from budget and schedule approved at construction start; explain amount, length of time, reasons and source of funds to cover additional costs)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7170" w:rsidRPr="0049626F" w:rsidRDefault="00897170" w:rsidP="00FC3EAC">
      <w:pPr>
        <w:rPr>
          <w:rFonts w:asciiTheme="minorHAnsi" w:hAnsiTheme="minorHAnsi" w:cstheme="minorHAnsi"/>
        </w:rPr>
      </w:pPr>
    </w:p>
    <w:sectPr w:rsidR="00897170" w:rsidRPr="0049626F" w:rsidSect="004E227F">
      <w:headerReference w:type="default" r:id="rId7"/>
      <w:footerReference w:type="default" r:id="rId8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F" w:rsidRPr="0049626F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49626F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along with all other proposal 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materials as </w:t>
    </w:r>
    <w:r w:rsidR="00CF3139">
      <w:rPr>
        <w:rFonts w:asciiTheme="minorHAnsi" w:hAnsiTheme="minorHAnsi" w:cstheme="minorHAnsi"/>
        <w:b/>
        <w:i/>
        <w:sz w:val="20"/>
        <w:szCs w:val="20"/>
      </w:rPr>
      <w:t xml:space="preserve">described 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in the RFQ</w:t>
    </w:r>
    <w:r w:rsidRPr="0049626F">
      <w:rPr>
        <w:rFonts w:asciiTheme="minorHAnsi" w:hAnsiTheme="minorHAnsi" w:cstheme="minorHAnsi"/>
        <w:b/>
        <w:i/>
        <w:sz w:val="20"/>
        <w:szCs w:val="20"/>
      </w:rPr>
      <w:t>.</w:t>
    </w:r>
  </w:p>
  <w:p w:rsidR="00CF3139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CF3139">
      <w:rPr>
        <w:rFonts w:asciiTheme="minorHAnsi" w:hAnsiTheme="minorHAnsi" w:cstheme="minorHAnsi"/>
        <w:b/>
        <w:i/>
        <w:sz w:val="20"/>
        <w:szCs w:val="20"/>
      </w:rPr>
      <w:t xml:space="preserve">MULTISITE 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RFQ</w:t>
    </w:r>
  </w:p>
  <w:p w:rsidR="004A3E8F" w:rsidRPr="0049626F" w:rsidRDefault="00CF3139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4A3E8F" w:rsidRPr="0049626F">
      <w:rPr>
        <w:rFonts w:asciiTheme="minorHAnsi" w:hAnsiTheme="minorHAnsi" w:cstheme="minorHAnsi"/>
        <w:b/>
        <w:i/>
        <w:sz w:val="20"/>
        <w:szCs w:val="20"/>
      </w:rPr>
      <w:tab/>
    </w:r>
    <w:r w:rsidR="004A3E8F" w:rsidRPr="0049626F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>
      <w:rPr>
        <w:rFonts w:asciiTheme="minorHAnsi" w:hAnsiTheme="minorHAnsi" w:cstheme="minorHAnsi"/>
        <w:b/>
        <w:i/>
        <w:sz w:val="20"/>
        <w:szCs w:val="20"/>
      </w:rP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39" w:rsidRPr="00CD6DDD" w:rsidRDefault="00CF3139" w:rsidP="00CF3139">
    <w:pPr>
      <w:pStyle w:val="Header"/>
      <w:jc w:val="center"/>
      <w:rPr>
        <w:rFonts w:ascii="Arial" w:hAnsi="Arial" w:cs="Arial"/>
        <w:b/>
      </w:rPr>
    </w:pPr>
    <w:r w:rsidRPr="00CD6DDD">
      <w:rPr>
        <w:rFonts w:ascii="Arial" w:hAnsi="Arial" w:cs="Arial"/>
        <w:b/>
      </w:rPr>
      <w:t>MOHCD MULTISITE RFQ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8D7"/>
    <w:rsid w:val="00017964"/>
    <w:rsid w:val="000A646C"/>
    <w:rsid w:val="000D764E"/>
    <w:rsid w:val="0011726A"/>
    <w:rsid w:val="00145206"/>
    <w:rsid w:val="00151BD1"/>
    <w:rsid w:val="00162BDA"/>
    <w:rsid w:val="001760B7"/>
    <w:rsid w:val="00191BFF"/>
    <w:rsid w:val="001C5BD2"/>
    <w:rsid w:val="001D34EA"/>
    <w:rsid w:val="00207BBF"/>
    <w:rsid w:val="00273C77"/>
    <w:rsid w:val="00281BC7"/>
    <w:rsid w:val="00290C33"/>
    <w:rsid w:val="002C1B3F"/>
    <w:rsid w:val="002D3FB1"/>
    <w:rsid w:val="002F30C0"/>
    <w:rsid w:val="002F737C"/>
    <w:rsid w:val="00357D11"/>
    <w:rsid w:val="003622D5"/>
    <w:rsid w:val="003A2F8E"/>
    <w:rsid w:val="003A6247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E77DE"/>
    <w:rsid w:val="00676BFB"/>
    <w:rsid w:val="00694DD6"/>
    <w:rsid w:val="006B26BF"/>
    <w:rsid w:val="006D0073"/>
    <w:rsid w:val="006E3F7B"/>
    <w:rsid w:val="007016A5"/>
    <w:rsid w:val="00723FEB"/>
    <w:rsid w:val="0073597D"/>
    <w:rsid w:val="00774EF5"/>
    <w:rsid w:val="007F2B9C"/>
    <w:rsid w:val="008032FA"/>
    <w:rsid w:val="00806A70"/>
    <w:rsid w:val="0084044E"/>
    <w:rsid w:val="008807B0"/>
    <w:rsid w:val="008950B9"/>
    <w:rsid w:val="00897170"/>
    <w:rsid w:val="008A7A48"/>
    <w:rsid w:val="008B676F"/>
    <w:rsid w:val="0092400C"/>
    <w:rsid w:val="00932A07"/>
    <w:rsid w:val="00951C0C"/>
    <w:rsid w:val="0098607E"/>
    <w:rsid w:val="009B10E9"/>
    <w:rsid w:val="009C6894"/>
    <w:rsid w:val="009E5F23"/>
    <w:rsid w:val="00A12A22"/>
    <w:rsid w:val="00A13836"/>
    <w:rsid w:val="00A71367"/>
    <w:rsid w:val="00A80B53"/>
    <w:rsid w:val="00A83C15"/>
    <w:rsid w:val="00A879DA"/>
    <w:rsid w:val="00A95BF6"/>
    <w:rsid w:val="00B67C9C"/>
    <w:rsid w:val="00B9481B"/>
    <w:rsid w:val="00BB6684"/>
    <w:rsid w:val="00BF4C41"/>
    <w:rsid w:val="00C77D9F"/>
    <w:rsid w:val="00C94518"/>
    <w:rsid w:val="00CA4C92"/>
    <w:rsid w:val="00CB1BCE"/>
    <w:rsid w:val="00CB3DF1"/>
    <w:rsid w:val="00CD1D79"/>
    <w:rsid w:val="00CD6DDD"/>
    <w:rsid w:val="00CF3139"/>
    <w:rsid w:val="00D217B7"/>
    <w:rsid w:val="00D23715"/>
    <w:rsid w:val="00D67FE5"/>
    <w:rsid w:val="00DB21B0"/>
    <w:rsid w:val="00DB5712"/>
    <w:rsid w:val="00DE4CA0"/>
    <w:rsid w:val="00E044A9"/>
    <w:rsid w:val="00E1536E"/>
    <w:rsid w:val="00E423BC"/>
    <w:rsid w:val="00E56013"/>
    <w:rsid w:val="00E61EB6"/>
    <w:rsid w:val="00F0494C"/>
    <w:rsid w:val="00F1566B"/>
    <w:rsid w:val="00F75770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4 - Qualifying Project Form</dc:title>
  <dc:creator>SOERTH</dc:creator>
  <cp:lastModifiedBy>Joyce Slen</cp:lastModifiedBy>
  <cp:revision>5</cp:revision>
  <cp:lastPrinted>2007-10-11T22:20:00Z</cp:lastPrinted>
  <dcterms:created xsi:type="dcterms:W3CDTF">2020-11-10T20:34:00Z</dcterms:created>
  <dcterms:modified xsi:type="dcterms:W3CDTF">2020-11-30T18:38:00Z</dcterms:modified>
</cp:coreProperties>
</file>