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920" w:rsidRDefault="00402920" w:rsidP="00402920">
      <w:pPr>
        <w:pStyle w:val="Header"/>
        <w:tabs>
          <w:tab w:val="clear" w:pos="4320"/>
          <w:tab w:val="clear" w:pos="8640"/>
        </w:tabs>
      </w:pPr>
    </w:p>
    <w:p w:rsidR="00402920" w:rsidRDefault="00402920" w:rsidP="00402920">
      <w:pPr>
        <w:widowControl w:val="0"/>
        <w:tabs>
          <w:tab w:val="left" w:pos="720"/>
          <w:tab w:val="left" w:pos="9360"/>
        </w:tabs>
        <w:spacing w:before="60"/>
        <w:rPr>
          <w:b/>
          <w:bCs/>
          <w:u w:val="single"/>
        </w:rPr>
      </w:pPr>
      <w:r>
        <w:rPr>
          <w:b/>
          <w:bCs/>
          <w:u w:val="single"/>
        </w:rPr>
        <w:t xml:space="preserve">For All Contracts, Regardless Of Amount: </w:t>
      </w:r>
    </w:p>
    <w:p w:rsidR="00402920" w:rsidRDefault="00402920" w:rsidP="00402920">
      <w:pPr>
        <w:widowControl w:val="0"/>
        <w:tabs>
          <w:tab w:val="left" w:pos="720"/>
          <w:tab w:val="left" w:pos="9360"/>
        </w:tabs>
        <w:spacing w:before="60"/>
      </w:pPr>
      <w:r>
        <w:t>1.  At the time of the award of the contract, contractor will be required to maintain in full force and effect for the period covered by the contract, the following insurance coverage:</w:t>
      </w:r>
    </w:p>
    <w:tbl>
      <w:tblPr>
        <w:tblW w:w="0" w:type="auto"/>
        <w:tblLayout w:type="fixed"/>
        <w:tblLook w:val="0000" w:firstRow="0" w:lastRow="0" w:firstColumn="0" w:lastColumn="0" w:noHBand="0" w:noVBand="0"/>
      </w:tblPr>
      <w:tblGrid>
        <w:gridCol w:w="468"/>
        <w:gridCol w:w="6570"/>
        <w:gridCol w:w="2700"/>
      </w:tblGrid>
      <w:tr w:rsidR="00402920" w:rsidTr="00650AFF">
        <w:tc>
          <w:tcPr>
            <w:tcW w:w="468" w:type="dxa"/>
          </w:tcPr>
          <w:p w:rsidR="00402920" w:rsidRDefault="00402920" w:rsidP="00650AFF">
            <w:pPr>
              <w:widowControl w:val="0"/>
              <w:tabs>
                <w:tab w:val="left" w:pos="9360"/>
              </w:tabs>
              <w:spacing w:before="60"/>
            </w:pPr>
          </w:p>
        </w:tc>
        <w:tc>
          <w:tcPr>
            <w:tcW w:w="6570" w:type="dxa"/>
          </w:tcPr>
          <w:p w:rsidR="00402920" w:rsidRDefault="00402920" w:rsidP="00650AFF">
            <w:pPr>
              <w:widowControl w:val="0"/>
              <w:tabs>
                <w:tab w:val="left" w:pos="9360"/>
              </w:tabs>
              <w:spacing w:before="60"/>
              <w:ind w:right="342"/>
            </w:pPr>
          </w:p>
        </w:tc>
        <w:tc>
          <w:tcPr>
            <w:tcW w:w="2700" w:type="dxa"/>
          </w:tcPr>
          <w:p w:rsidR="00402920" w:rsidRDefault="00402920" w:rsidP="00650AFF">
            <w:pPr>
              <w:pStyle w:val="Heading2"/>
              <w:ind w:left="0" w:firstLine="0"/>
              <w:rPr>
                <w:sz w:val="22"/>
              </w:rPr>
            </w:pPr>
            <w:r>
              <w:rPr>
                <w:sz w:val="22"/>
              </w:rPr>
              <w:t xml:space="preserve">Single Limit </w:t>
            </w:r>
            <w:r>
              <w:rPr>
                <w:sz w:val="22"/>
              </w:rPr>
              <w:br/>
              <w:t>Each Occurrence</w:t>
            </w:r>
          </w:p>
        </w:tc>
      </w:tr>
      <w:tr w:rsidR="00402920" w:rsidTr="00650AFF">
        <w:tc>
          <w:tcPr>
            <w:tcW w:w="468" w:type="dxa"/>
          </w:tcPr>
          <w:p w:rsidR="00402920" w:rsidRDefault="00402920" w:rsidP="00650AFF">
            <w:pPr>
              <w:widowControl w:val="0"/>
              <w:tabs>
                <w:tab w:val="left" w:pos="9360"/>
              </w:tabs>
              <w:spacing w:before="60"/>
            </w:pPr>
            <w:r>
              <w:t>a.</w:t>
            </w:r>
          </w:p>
        </w:tc>
        <w:tc>
          <w:tcPr>
            <w:tcW w:w="6570" w:type="dxa"/>
          </w:tcPr>
          <w:p w:rsidR="00402920" w:rsidRDefault="00402920" w:rsidP="00650AFF">
            <w:pPr>
              <w:widowControl w:val="0"/>
              <w:tabs>
                <w:tab w:val="left" w:pos="9360"/>
              </w:tabs>
              <w:spacing w:before="60"/>
              <w:ind w:right="342"/>
            </w:pPr>
            <w:r>
              <w:t>Workers’ Compensation</w:t>
            </w:r>
          </w:p>
        </w:tc>
        <w:tc>
          <w:tcPr>
            <w:tcW w:w="2700" w:type="dxa"/>
          </w:tcPr>
          <w:p w:rsidR="00402920" w:rsidRDefault="00402920" w:rsidP="00650AFF">
            <w:pPr>
              <w:widowControl w:val="0"/>
              <w:tabs>
                <w:tab w:val="left" w:pos="9360"/>
              </w:tabs>
              <w:spacing w:before="60"/>
            </w:pPr>
            <w:r>
              <w:t>Statutory</w:t>
            </w:r>
          </w:p>
        </w:tc>
      </w:tr>
      <w:tr w:rsidR="00402920" w:rsidTr="00650AFF">
        <w:tc>
          <w:tcPr>
            <w:tcW w:w="468" w:type="dxa"/>
          </w:tcPr>
          <w:p w:rsidR="00402920" w:rsidRDefault="00402920" w:rsidP="00650AFF">
            <w:pPr>
              <w:widowControl w:val="0"/>
              <w:tabs>
                <w:tab w:val="left" w:pos="9360"/>
              </w:tabs>
              <w:spacing w:before="60"/>
            </w:pPr>
            <w:r>
              <w:t>b.</w:t>
            </w:r>
          </w:p>
        </w:tc>
        <w:tc>
          <w:tcPr>
            <w:tcW w:w="6570" w:type="dxa"/>
          </w:tcPr>
          <w:p w:rsidR="00402920" w:rsidRDefault="00402920" w:rsidP="00650AFF">
            <w:pPr>
              <w:widowControl w:val="0"/>
              <w:tabs>
                <w:tab w:val="left" w:pos="9360"/>
              </w:tabs>
              <w:spacing w:before="60"/>
              <w:ind w:right="342"/>
            </w:pPr>
            <w:r>
              <w:t>Employer's Liability</w:t>
            </w:r>
          </w:p>
        </w:tc>
        <w:tc>
          <w:tcPr>
            <w:tcW w:w="2700" w:type="dxa"/>
          </w:tcPr>
          <w:p w:rsidR="00402920" w:rsidRDefault="00402920" w:rsidP="00650AFF">
            <w:pPr>
              <w:widowControl w:val="0"/>
              <w:tabs>
                <w:tab w:val="left" w:pos="9360"/>
              </w:tabs>
              <w:spacing w:before="60"/>
            </w:pPr>
            <w:r>
              <w:t>$1,000,000</w:t>
            </w:r>
          </w:p>
        </w:tc>
      </w:tr>
      <w:tr w:rsidR="00402920" w:rsidTr="00650AFF">
        <w:tc>
          <w:tcPr>
            <w:tcW w:w="468" w:type="dxa"/>
          </w:tcPr>
          <w:p w:rsidR="00402920" w:rsidRDefault="00402920" w:rsidP="00650AFF">
            <w:pPr>
              <w:widowControl w:val="0"/>
              <w:tabs>
                <w:tab w:val="left" w:pos="9360"/>
              </w:tabs>
              <w:spacing w:before="60"/>
            </w:pPr>
            <w:r>
              <w:t>c.</w:t>
            </w:r>
          </w:p>
        </w:tc>
        <w:tc>
          <w:tcPr>
            <w:tcW w:w="6570" w:type="dxa"/>
          </w:tcPr>
          <w:p w:rsidR="00402920" w:rsidRDefault="00402920" w:rsidP="00650AFF">
            <w:pPr>
              <w:widowControl w:val="0"/>
              <w:tabs>
                <w:tab w:val="left" w:pos="9360"/>
              </w:tabs>
              <w:spacing w:before="60"/>
              <w:ind w:right="342"/>
            </w:pPr>
            <w:r>
              <w:t>Comprehensive General Liability, Bodily Injury &amp; Property Damage</w:t>
            </w:r>
          </w:p>
        </w:tc>
        <w:tc>
          <w:tcPr>
            <w:tcW w:w="2700" w:type="dxa"/>
          </w:tcPr>
          <w:p w:rsidR="00402920" w:rsidRDefault="00402920" w:rsidP="00650AFF">
            <w:pPr>
              <w:widowControl w:val="0"/>
              <w:tabs>
                <w:tab w:val="left" w:pos="9360"/>
              </w:tabs>
              <w:spacing w:before="60"/>
            </w:pPr>
            <w:r>
              <w:t>$1,000,000</w:t>
            </w:r>
          </w:p>
        </w:tc>
      </w:tr>
      <w:tr w:rsidR="00402920" w:rsidTr="00650AFF">
        <w:tc>
          <w:tcPr>
            <w:tcW w:w="468" w:type="dxa"/>
          </w:tcPr>
          <w:p w:rsidR="00402920" w:rsidRDefault="00402920" w:rsidP="00650AFF">
            <w:pPr>
              <w:widowControl w:val="0"/>
              <w:tabs>
                <w:tab w:val="left" w:pos="9360"/>
              </w:tabs>
              <w:spacing w:before="60"/>
            </w:pPr>
            <w:r>
              <w:t>d.</w:t>
            </w:r>
          </w:p>
        </w:tc>
        <w:tc>
          <w:tcPr>
            <w:tcW w:w="6570" w:type="dxa"/>
          </w:tcPr>
          <w:p w:rsidR="00402920" w:rsidRDefault="00402920" w:rsidP="00650AFF">
            <w:pPr>
              <w:widowControl w:val="0"/>
              <w:tabs>
                <w:tab w:val="left" w:pos="9360"/>
              </w:tabs>
              <w:spacing w:before="60"/>
              <w:ind w:right="342"/>
            </w:pPr>
            <w:r>
              <w:t>Comprehensive Automobile Liability Bodily Injury &amp; Property Damage</w:t>
            </w:r>
          </w:p>
        </w:tc>
        <w:tc>
          <w:tcPr>
            <w:tcW w:w="2700" w:type="dxa"/>
          </w:tcPr>
          <w:p w:rsidR="00402920" w:rsidRDefault="00402920" w:rsidP="00650AFF">
            <w:pPr>
              <w:widowControl w:val="0"/>
              <w:tabs>
                <w:tab w:val="left" w:pos="9360"/>
              </w:tabs>
              <w:spacing w:before="60"/>
            </w:pPr>
            <w:r>
              <w:t>$1,000,000</w:t>
            </w:r>
          </w:p>
        </w:tc>
      </w:tr>
      <w:tr w:rsidR="00402920" w:rsidTr="00650AFF">
        <w:tc>
          <w:tcPr>
            <w:tcW w:w="468" w:type="dxa"/>
          </w:tcPr>
          <w:p w:rsidR="00402920" w:rsidRDefault="00402920" w:rsidP="00650AFF">
            <w:pPr>
              <w:widowControl w:val="0"/>
              <w:tabs>
                <w:tab w:val="left" w:pos="9360"/>
              </w:tabs>
              <w:spacing w:before="60"/>
            </w:pPr>
            <w:r>
              <w:t>e.</w:t>
            </w:r>
          </w:p>
        </w:tc>
        <w:tc>
          <w:tcPr>
            <w:tcW w:w="6570" w:type="dxa"/>
          </w:tcPr>
          <w:p w:rsidR="00402920" w:rsidRDefault="00402920" w:rsidP="00650AFF">
            <w:pPr>
              <w:widowControl w:val="0"/>
              <w:tabs>
                <w:tab w:val="left" w:pos="9360"/>
              </w:tabs>
              <w:spacing w:before="60"/>
              <w:ind w:right="342"/>
              <w:jc w:val="left"/>
            </w:pPr>
            <w:r>
              <w:t>All Risk Builders Risk Insurance. The owner will normally waive this requirement if owner has adequate real property coverage. Check with owner.</w:t>
            </w:r>
          </w:p>
        </w:tc>
        <w:tc>
          <w:tcPr>
            <w:tcW w:w="2700" w:type="dxa"/>
          </w:tcPr>
          <w:p w:rsidR="00402920" w:rsidRDefault="00402920" w:rsidP="00650AFF">
            <w:pPr>
              <w:widowControl w:val="0"/>
              <w:tabs>
                <w:tab w:val="left" w:pos="9360"/>
              </w:tabs>
              <w:spacing w:before="60"/>
              <w:jc w:val="left"/>
            </w:pPr>
            <w:r>
              <w:t>100% of contract amount</w:t>
            </w:r>
          </w:p>
        </w:tc>
      </w:tr>
    </w:tbl>
    <w:p w:rsidR="00402920" w:rsidRDefault="00402920" w:rsidP="00402920">
      <w:pPr>
        <w:widowControl w:val="0"/>
        <w:tabs>
          <w:tab w:val="left" w:pos="6840"/>
          <w:tab w:val="left" w:pos="7632"/>
          <w:tab w:val="left" w:pos="9360"/>
          <w:tab w:val="left" w:pos="9720"/>
        </w:tabs>
        <w:spacing w:before="60"/>
      </w:pPr>
      <w:r>
        <w:t>Contractor shall furnish Corporation with certificates of insurance for above coverage that shall name the Corporation and Owner as additional insured.</w:t>
      </w:r>
    </w:p>
    <w:p w:rsidR="00402920" w:rsidRDefault="00402920" w:rsidP="00402920">
      <w:pPr>
        <w:widowControl w:val="0"/>
        <w:tabs>
          <w:tab w:val="left" w:pos="9360"/>
        </w:tabs>
      </w:pPr>
      <w:r>
        <w:t>2. Contractor and all subcontractors must be eligible to participate in Federally assisted contracts and shall not have any interest in any firm, corporation, partnership or association that is debarred or determined ineligible by the Secretary of Labor or the Secretary of Housing and Urban Development (HUD) to be awarded this Contract.</w:t>
      </w:r>
    </w:p>
    <w:p w:rsidR="00F3126C" w:rsidRDefault="00402920" w:rsidP="00402920">
      <w:pPr>
        <w:widowControl w:val="0"/>
        <w:pBdr>
          <w:bottom w:val="single" w:sz="4" w:space="1" w:color="auto"/>
        </w:pBdr>
        <w:tabs>
          <w:tab w:val="left" w:pos="9360"/>
        </w:tabs>
      </w:pPr>
      <w:r w:rsidRPr="00F3126C">
        <w:t>3. All contractors</w:t>
      </w:r>
      <w:r w:rsidR="001D4E68" w:rsidRPr="00F3126C">
        <w:t xml:space="preserve"> and subcontractors</w:t>
      </w:r>
      <w:r w:rsidRPr="00F3126C">
        <w:t xml:space="preserve"> must be licensed by the Contractor's State License Board of California.</w:t>
      </w:r>
      <w:r w:rsidR="00F77644" w:rsidRPr="00F3126C">
        <w:t xml:space="preserve">  </w:t>
      </w:r>
    </w:p>
    <w:p w:rsidR="002B58DF" w:rsidRDefault="002B58DF" w:rsidP="002B58DF">
      <w:pPr>
        <w:widowControl w:val="0"/>
        <w:pBdr>
          <w:bottom w:val="single" w:sz="4" w:space="1" w:color="auto"/>
        </w:pBdr>
        <w:tabs>
          <w:tab w:val="left" w:pos="0"/>
          <w:tab w:val="left" w:pos="180"/>
        </w:tabs>
      </w:pPr>
      <w:r>
        <w:t>4. All contractors and subcontractors must also be registered with the California Department of Industrial Relations and have paid the required fees to undertake Public Works projects or projects funded by local governments. For additional information visit the California Department of Industrial Relations information webpage at: http://www.dir.ca.gov/public-works/PublicWorksSB854FAQ.html</w:t>
      </w:r>
    </w:p>
    <w:p w:rsidR="002B58DF" w:rsidRDefault="002B58DF" w:rsidP="00402920">
      <w:pPr>
        <w:widowControl w:val="0"/>
        <w:pBdr>
          <w:bottom w:val="single" w:sz="4" w:space="1" w:color="auto"/>
        </w:pBdr>
        <w:tabs>
          <w:tab w:val="left" w:pos="9360"/>
        </w:tabs>
      </w:pPr>
    </w:p>
    <w:p w:rsidR="00402920" w:rsidRDefault="00402920" w:rsidP="00402920">
      <w:pPr>
        <w:widowControl w:val="0"/>
        <w:tabs>
          <w:tab w:val="left" w:pos="720"/>
          <w:tab w:val="left" w:pos="9360"/>
          <w:tab w:val="left" w:pos="9720"/>
        </w:tabs>
        <w:spacing w:before="60"/>
        <w:rPr>
          <w:b/>
        </w:rPr>
      </w:pPr>
      <w:r>
        <w:rPr>
          <w:b/>
        </w:rPr>
        <w:t>For All Contract</w:t>
      </w:r>
      <w:r w:rsidR="001D4E68">
        <w:rPr>
          <w:b/>
        </w:rPr>
        <w:t xml:space="preserve"> Amounts</w:t>
      </w:r>
      <w:r>
        <w:rPr>
          <w:b/>
        </w:rPr>
        <w:t xml:space="preserve"> $20,000 To $100,000, The Contractor Either Must:</w:t>
      </w:r>
    </w:p>
    <w:p w:rsidR="00402920" w:rsidRDefault="00402920" w:rsidP="00402920">
      <w:pPr>
        <w:widowControl w:val="0"/>
        <w:tabs>
          <w:tab w:val="left" w:pos="720"/>
          <w:tab w:val="left" w:pos="9360"/>
        </w:tabs>
        <w:spacing w:before="60"/>
      </w:pPr>
      <w:r>
        <w:t>1.</w:t>
      </w:r>
      <w:r>
        <w:tab/>
        <w:t xml:space="preserve">Post a </w:t>
      </w:r>
      <w:r>
        <w:rPr>
          <w:u w:val="single"/>
        </w:rPr>
        <w:t>Performance Bond</w:t>
      </w:r>
      <w:r>
        <w:t xml:space="preserve"> and a </w:t>
      </w:r>
      <w:r>
        <w:rPr>
          <w:u w:val="single"/>
        </w:rPr>
        <w:t>Labor and Material Bond</w:t>
      </w:r>
      <w:r>
        <w:t xml:space="preserve"> in amounts not less than 100% of the amount of the work; </w:t>
      </w:r>
      <w:r>
        <w:rPr>
          <w:b/>
        </w:rPr>
        <w:t>OR</w:t>
      </w:r>
    </w:p>
    <w:p w:rsidR="00402920" w:rsidRDefault="00402920" w:rsidP="00402920">
      <w:pPr>
        <w:pStyle w:val="BodyText"/>
        <w:pBdr>
          <w:bottom w:val="single" w:sz="4" w:space="1" w:color="auto"/>
        </w:pBdr>
      </w:pPr>
      <w:r>
        <w:t>2.</w:t>
      </w:r>
      <w:r>
        <w:tab/>
        <w:t>If both Owner and MOH</w:t>
      </w:r>
      <w:r w:rsidR="001D4E68">
        <w:t>CD</w:t>
      </w:r>
      <w:r>
        <w:t xml:space="preserve"> approve, the requirement for posting of a Performance Bond and Labor and Material Bond may be waived. In such event, a larger percentage of each progress payment may be withheld. For example, 50% of each payment or one lump sum payment will be made for all work performed. This or another amount agreed to will not be paid until thirty (</w:t>
      </w:r>
      <w:r w:rsidR="005E4E76">
        <w:t>30</w:t>
      </w:r>
      <w:bookmarkStart w:id="0" w:name="_GoBack"/>
      <w:bookmarkEnd w:id="0"/>
      <w:r>
        <w:t>) calendar days have elapsed after a valid Notice of Completion has been recorded. The Owner may withhold from such final payment an amount equal to 1 1/2 times the total of any mechanic's lien claims that may have been recorded to protect Owner against such lien claims. To be considered, the Contractor must request a waiver and, if approved, must agree in writing to the required payment schedule. </w:t>
      </w:r>
    </w:p>
    <w:p w:rsidR="001D3211" w:rsidRDefault="00402920" w:rsidP="00402920">
      <w:pPr>
        <w:pStyle w:val="BodyText2"/>
        <w:sectPr w:rsidR="001D3211">
          <w:headerReference w:type="default" r:id="rId6"/>
          <w:pgSz w:w="12240" w:h="15840" w:code="1"/>
          <w:pgMar w:top="720" w:right="720" w:bottom="720" w:left="1440" w:header="720" w:footer="720" w:gutter="0"/>
          <w:cols w:space="720"/>
        </w:sectPr>
      </w:pPr>
      <w:r>
        <w:t xml:space="preserve">For All Contracts Exceeding $100,000, The Contractor Must Provide Performance </w:t>
      </w:r>
      <w:proofErr w:type="gramStart"/>
      <w:r>
        <w:t>And</w:t>
      </w:r>
      <w:proofErr w:type="gramEnd"/>
      <w:r>
        <w:t xml:space="preserve"> Labor And Material Payment Bonds Equal To 100% Of Contract Amount.</w:t>
      </w:r>
    </w:p>
    <w:p w:rsidR="00FC1BDF" w:rsidRDefault="00FC1BDF" w:rsidP="001D3211"/>
    <w:sectPr w:rsidR="00FC1BDF" w:rsidSect="001D3211">
      <w:type w:val="continuous"/>
      <w:pgSz w:w="12240" w:h="15840" w:code="1"/>
      <w:pgMar w:top="720" w:right="720" w:bottom="72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82B" w:rsidRDefault="001D4E68">
      <w:pPr>
        <w:spacing w:after="0"/>
      </w:pPr>
      <w:r>
        <w:separator/>
      </w:r>
    </w:p>
  </w:endnote>
  <w:endnote w:type="continuationSeparator" w:id="0">
    <w:p w:rsidR="0090382B" w:rsidRDefault="001D4E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82B" w:rsidRDefault="001D4E68">
      <w:pPr>
        <w:spacing w:after="0"/>
      </w:pPr>
      <w:r>
        <w:separator/>
      </w:r>
    </w:p>
  </w:footnote>
  <w:footnote w:type="continuationSeparator" w:id="0">
    <w:p w:rsidR="0090382B" w:rsidRDefault="001D4E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CE2" w:rsidRDefault="00402920">
    <w:pPr>
      <w:pStyle w:val="Header"/>
      <w:spacing w:after="0"/>
      <w:jc w:val="center"/>
      <w:rPr>
        <w:rFonts w:ascii="Times New Roman" w:hAnsi="Times New Roman"/>
        <w:b/>
        <w:bCs/>
        <w:sz w:val="24"/>
      </w:rPr>
    </w:pPr>
    <w:r>
      <w:rPr>
        <w:rFonts w:ascii="Times New Roman" w:hAnsi="Times New Roman"/>
        <w:b/>
        <w:bCs/>
        <w:sz w:val="24"/>
      </w:rPr>
      <w:t xml:space="preserve">CONTRACTOR'S REQUIREMENTS FOR </w:t>
    </w:r>
    <w:r>
      <w:rPr>
        <w:rFonts w:ascii="Times New Roman" w:hAnsi="Times New Roman"/>
        <w:b/>
        <w:bCs/>
        <w:sz w:val="24"/>
      </w:rPr>
      <w:br/>
      <w:t>LICENSING, BONDING, INSURANCE &amp; ELIGIBILITY</w:t>
    </w:r>
  </w:p>
  <w:p w:rsidR="00796CE2" w:rsidRDefault="00402920">
    <w:pPr>
      <w:pStyle w:val="Header"/>
      <w:pBdr>
        <w:bottom w:val="single" w:sz="4" w:space="1" w:color="auto"/>
      </w:pBdr>
      <w:spacing w:after="0"/>
      <w:jc w:val="center"/>
      <w:rPr>
        <w:rFonts w:ascii="Times New Roman" w:hAnsi="Times New Roman"/>
        <w:b/>
        <w:bCs/>
        <w:sz w:val="24"/>
      </w:rPr>
    </w:pPr>
    <w:r>
      <w:rPr>
        <w:rFonts w:ascii="Times New Roman" w:hAnsi="Times New Roman"/>
        <w:b/>
        <w:bCs/>
        <w:sz w:val="24"/>
      </w:rPr>
      <w:t>MOH - 9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920"/>
    <w:rsid w:val="001D3211"/>
    <w:rsid w:val="001D4E68"/>
    <w:rsid w:val="002B58DF"/>
    <w:rsid w:val="00402920"/>
    <w:rsid w:val="005E4E76"/>
    <w:rsid w:val="0072370A"/>
    <w:rsid w:val="007855C9"/>
    <w:rsid w:val="0090382B"/>
    <w:rsid w:val="00F3126C"/>
    <w:rsid w:val="00F77644"/>
    <w:rsid w:val="00FC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7B803"/>
  <w15:docId w15:val="{37A62687-8D60-4EB7-9C08-47D1D636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920"/>
    <w:pPr>
      <w:spacing w:after="120" w:line="240" w:lineRule="auto"/>
      <w:jc w:val="both"/>
    </w:pPr>
    <w:rPr>
      <w:rFonts w:ascii="Arial" w:eastAsia="Times New Roman" w:hAnsi="Arial" w:cs="Times New Roman"/>
      <w:szCs w:val="20"/>
    </w:rPr>
  </w:style>
  <w:style w:type="paragraph" w:styleId="Heading2">
    <w:name w:val="heading 2"/>
    <w:next w:val="Normal"/>
    <w:link w:val="Heading2Char"/>
    <w:qFormat/>
    <w:rsid w:val="00402920"/>
    <w:pPr>
      <w:tabs>
        <w:tab w:val="right" w:pos="9720"/>
      </w:tabs>
      <w:spacing w:before="180" w:after="240" w:line="240" w:lineRule="auto"/>
      <w:ind w:left="806" w:hanging="806"/>
      <w:outlineLvl w:val="1"/>
    </w:pPr>
    <w:rPr>
      <w:rFonts w:ascii="Arial" w:eastAsia="Times New Roman" w:hAnsi="Arial"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920"/>
    <w:rPr>
      <w:rFonts w:ascii="Arial" w:eastAsia="Times New Roman" w:hAnsi="Arial" w:cs="Times New Roman"/>
      <w:b/>
      <w:noProof/>
      <w:sz w:val="24"/>
      <w:szCs w:val="20"/>
    </w:rPr>
  </w:style>
  <w:style w:type="paragraph" w:styleId="BodyText">
    <w:name w:val="Body Text"/>
    <w:basedOn w:val="Normal"/>
    <w:link w:val="BodyTextChar"/>
    <w:semiHidden/>
    <w:rsid w:val="00402920"/>
  </w:style>
  <w:style w:type="character" w:customStyle="1" w:styleId="BodyTextChar">
    <w:name w:val="Body Text Char"/>
    <w:basedOn w:val="DefaultParagraphFont"/>
    <w:link w:val="BodyText"/>
    <w:semiHidden/>
    <w:rsid w:val="00402920"/>
    <w:rPr>
      <w:rFonts w:ascii="Arial" w:eastAsia="Times New Roman" w:hAnsi="Arial" w:cs="Times New Roman"/>
      <w:szCs w:val="20"/>
    </w:rPr>
  </w:style>
  <w:style w:type="paragraph" w:styleId="Header">
    <w:name w:val="header"/>
    <w:basedOn w:val="Normal"/>
    <w:link w:val="HeaderChar"/>
    <w:semiHidden/>
    <w:rsid w:val="00402920"/>
    <w:pPr>
      <w:tabs>
        <w:tab w:val="center" w:pos="4320"/>
        <w:tab w:val="right" w:pos="8640"/>
      </w:tabs>
    </w:pPr>
  </w:style>
  <w:style w:type="character" w:customStyle="1" w:styleId="HeaderChar">
    <w:name w:val="Header Char"/>
    <w:basedOn w:val="DefaultParagraphFont"/>
    <w:link w:val="Header"/>
    <w:semiHidden/>
    <w:rsid w:val="00402920"/>
    <w:rPr>
      <w:rFonts w:ascii="Arial" w:eastAsia="Times New Roman" w:hAnsi="Arial" w:cs="Times New Roman"/>
      <w:szCs w:val="20"/>
    </w:rPr>
  </w:style>
  <w:style w:type="paragraph" w:styleId="BodyText2">
    <w:name w:val="Body Text 2"/>
    <w:basedOn w:val="Normal"/>
    <w:link w:val="BodyText2Char"/>
    <w:semiHidden/>
    <w:rsid w:val="00402920"/>
    <w:pPr>
      <w:widowControl w:val="0"/>
      <w:tabs>
        <w:tab w:val="left" w:pos="720"/>
        <w:tab w:val="left" w:pos="9360"/>
      </w:tabs>
      <w:spacing w:before="60"/>
    </w:pPr>
    <w:rPr>
      <w:b/>
    </w:rPr>
  </w:style>
  <w:style w:type="character" w:customStyle="1" w:styleId="BodyText2Char">
    <w:name w:val="Body Text 2 Char"/>
    <w:basedOn w:val="DefaultParagraphFont"/>
    <w:link w:val="BodyText2"/>
    <w:semiHidden/>
    <w:rsid w:val="00402920"/>
    <w:rPr>
      <w:rFonts w:ascii="Arial" w:eastAsia="Times New Roman" w:hAnsi="Arial" w:cs="Times New Roman"/>
      <w:b/>
      <w:szCs w:val="20"/>
    </w:rPr>
  </w:style>
  <w:style w:type="paragraph" w:customStyle="1" w:styleId="Default">
    <w:name w:val="Default"/>
    <w:rsid w:val="002B58DF"/>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B58DF"/>
    <w:pPr>
      <w:tabs>
        <w:tab w:val="center" w:pos="4680"/>
        <w:tab w:val="right" w:pos="9360"/>
      </w:tabs>
      <w:spacing w:after="0"/>
    </w:pPr>
  </w:style>
  <w:style w:type="character" w:customStyle="1" w:styleId="FooterChar">
    <w:name w:val="Footer Char"/>
    <w:basedOn w:val="DefaultParagraphFont"/>
    <w:link w:val="Footer"/>
    <w:uiPriority w:val="99"/>
    <w:rsid w:val="002B58D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Harris</dc:creator>
  <cp:lastModifiedBy>Stephen Ford</cp:lastModifiedBy>
  <cp:revision>7</cp:revision>
  <dcterms:created xsi:type="dcterms:W3CDTF">2015-06-17T18:25:00Z</dcterms:created>
  <dcterms:modified xsi:type="dcterms:W3CDTF">2020-09-17T19:04:00Z</dcterms:modified>
</cp:coreProperties>
</file>